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C" w:rsidRDefault="00B9097C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WYMAGANIA EDUKACYJNE Z HISTORII DLA KLASY 7 SZKOŁY PODSTAWOWEJ</w:t>
      </w:r>
    </w:p>
    <w:p w:rsidR="00B9097C" w:rsidRPr="000C67C6" w:rsidRDefault="00B909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III–VI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kierunki rozwoju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 xml:space="preserve">urbanizacja,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Samuela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Morse’a</w:t>
            </w:r>
            <w:proofErr w:type="spellEnd"/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aspekty gospodarcze i społeczno-polityczne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 xml:space="preserve">(socjalizm, ruch ludowy, ruch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społeczno- polityczne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w zaborach pruskim,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konstytucji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charakteryzuje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okręgi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Waleriana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lastRenderedPageBreak/>
              <w:t>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rosyjskiej (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II–X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powstańczych poza Królestwem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powstania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główne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</w:t>
            </w:r>
            <w:proofErr w:type="spellStart"/>
            <w:r w:rsidR="005B4D8B" w:rsidRPr="000F2829">
              <w:rPr>
                <w:sz w:val="20"/>
                <w:szCs w:val="20"/>
              </w:rPr>
              <w:t>IV–V</w:t>
            </w:r>
            <w:proofErr w:type="spellEnd"/>
            <w:r w:rsidR="005B4D8B" w:rsidRPr="000F2829">
              <w:rPr>
                <w:sz w:val="20"/>
                <w:szCs w:val="20"/>
              </w:rPr>
              <w:t xml:space="preserve">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Słowacki, Andrzej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Austrią dla procesu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drugiej połowy XIX w.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sztuce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jeśli to możliwe,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realizacji programu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postawy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narodowej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rusyfikacji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ziemiach dawnej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Polaków pod koniec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przedsiębiorczości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podziały na polskiej scenie politycznej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społeczne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SDKP , </w:t>
            </w:r>
            <w:proofErr w:type="spellStart"/>
            <w:r w:rsidR="00994150" w:rsidRPr="000C67C6">
              <w:rPr>
                <w:rFonts w:cs="Humanst521EU-Normal"/>
                <w:sz w:val="20"/>
                <w:szCs w:val="20"/>
              </w:rPr>
              <w:t>SDKPiL</w:t>
            </w:r>
            <w:proofErr w:type="spellEnd"/>
            <w:r w:rsidR="00994150" w:rsidRPr="000C67C6">
              <w:rPr>
                <w:rFonts w:cs="Humanst521EU-Normal"/>
                <w:sz w:val="20"/>
                <w:szCs w:val="20"/>
              </w:rPr>
              <w:t>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Ludwika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programowe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SDKPiL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lastRenderedPageBreak/>
              <w:t>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0C67C6">
              <w:rPr>
                <w:rFonts w:ascii="Calibri" w:hAnsi="Calibri" w:cs="Times New Roman"/>
                <w:sz w:val="20"/>
                <w:szCs w:val="20"/>
              </w:rPr>
              <w:t>SDKPiL</w:t>
            </w:r>
            <w:proofErr w:type="spellEnd"/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Bolesław Prus, Henryk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Henryka </w:t>
            </w:r>
            <w:proofErr w:type="spellStart"/>
            <w:r w:rsidR="009241A0" w:rsidRPr="000C67C6">
              <w:rPr>
                <w:rFonts w:cs="Humanst521EU-Normal"/>
                <w:sz w:val="20"/>
                <w:szCs w:val="20"/>
              </w:rPr>
              <w:t>Jordana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sztukę polską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 xml:space="preserve">wypowiedzenia wojny Serbii przez </w:t>
            </w:r>
            <w:proofErr w:type="spellStart"/>
            <w:r w:rsidR="0008181C" w:rsidRPr="000C67C6">
              <w:rPr>
                <w:rFonts w:cs="Humanst521EU-Normal"/>
                <w:sz w:val="20"/>
                <w:szCs w:val="20"/>
              </w:rPr>
              <w:t>Austro-Węgry</w:t>
            </w:r>
            <w:proofErr w:type="spellEnd"/>
            <w:r w:rsidR="0008181C" w:rsidRPr="000C67C6">
              <w:rPr>
                <w:rFonts w:cs="Humanst521EU-Normal"/>
                <w:sz w:val="20"/>
                <w:szCs w:val="20"/>
              </w:rPr>
              <w:t xml:space="preserve">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Kiereński, Włodzimierz Lenin,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skutki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udział Polaków w obradach konferencji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niepodległości przez narody europejskie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lastRenderedPageBreak/>
              <w:t xml:space="preserve">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Davida Lloyd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George</w:t>
            </w:r>
            <w:r w:rsidR="007A1B29">
              <w:rPr>
                <w:rFonts w:cs="Humanst521EU-Normal"/>
                <w:sz w:val="20"/>
                <w:szCs w:val="20"/>
              </w:rPr>
              <w:t>’a</w:t>
            </w:r>
            <w:proofErr w:type="spellEnd"/>
            <w:r w:rsidR="007A1B29">
              <w:rPr>
                <w:rFonts w:cs="Humanst521EU-Normal"/>
                <w:sz w:val="20"/>
                <w:szCs w:val="20"/>
              </w:rPr>
              <w:t>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przejęcia władzy przez B.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socjalizmu […]): ideologię i praktykę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marszu na Rzym (1922),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jednostki, wielka czystka, komunizm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Odrodzenie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sytuacja ziem polskich pod koniec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 xml:space="preserve">Tymczasowy </w:t>
            </w:r>
            <w:r w:rsidRPr="00FD653B">
              <w:rPr>
                <w:rFonts w:cstheme="minorHAnsi"/>
                <w:i/>
                <w:sz w:val="20"/>
                <w:szCs w:val="20"/>
              </w:rPr>
              <w:lastRenderedPageBreak/>
              <w:t>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lastRenderedPageBreak/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charakteryzuje sytuację polityczną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wyniki plebiscytów na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inkorporacyjna, koncepcja federacyjna,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Powstania Wielkopolskiego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Warszawskiej (15 VIII 1920), pokoju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wybuchu powstania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lastRenderedPageBreak/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 xml:space="preserve">wojny </w:t>
            </w:r>
            <w:r w:rsidR="003D7A47" w:rsidRPr="000C67C6">
              <w:rPr>
                <w:rFonts w:cstheme="minorHAnsi"/>
                <w:sz w:val="20"/>
                <w:szCs w:val="20"/>
              </w:rPr>
              <w:lastRenderedPageBreak/>
              <w:t>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rząd W. Grabskiego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partie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parlamentarne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sierpniowej i konstytucji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brzeski, konstytucja kwietniowa, Bereza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autorytaryzm – rządy sanacji,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autorytaryzm, konstytucja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lastRenderedPageBreak/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numerus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clausus</w:t>
            </w:r>
            <w:proofErr w:type="spellEnd"/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które powstały w malarstwie i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osiągnięcia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lastRenderedPageBreak/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pakt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konsekwencje paktu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które na mocy paktu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3358A9" w:rsidRDefault="003358A9">
      <w:pPr>
        <w:rPr>
          <w:rFonts w:cstheme="minorHAnsi"/>
          <w:b/>
          <w:sz w:val="20"/>
          <w:szCs w:val="20"/>
        </w:rPr>
      </w:pPr>
    </w:p>
    <w:p w:rsidR="00B9097C" w:rsidRPr="00B9097C" w:rsidRDefault="00B9097C">
      <w:pPr>
        <w:rPr>
          <w:sz w:val="20"/>
          <w:szCs w:val="20"/>
        </w:rPr>
      </w:pPr>
      <w:r w:rsidRPr="00B9097C">
        <w:rPr>
          <w:rFonts w:cstheme="minorHAnsi"/>
          <w:sz w:val="20"/>
          <w:szCs w:val="20"/>
        </w:rPr>
        <w:t>Każdy</w:t>
      </w:r>
      <w:r>
        <w:rPr>
          <w:rFonts w:cstheme="minorHAnsi"/>
          <w:sz w:val="20"/>
          <w:szCs w:val="20"/>
        </w:rPr>
        <w:t xml:space="preserve"> rozdział kończy się podsumowaniem i sprawdzianem wiedzy i umiejętności.</w:t>
      </w: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33" w:rsidRDefault="00935033" w:rsidP="00254330">
      <w:pPr>
        <w:spacing w:after="0" w:line="240" w:lineRule="auto"/>
      </w:pPr>
      <w:r>
        <w:separator/>
      </w:r>
    </w:p>
  </w:endnote>
  <w:endnote w:type="continuationSeparator" w:id="0">
    <w:p w:rsidR="00935033" w:rsidRDefault="0093503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C51B80" w:rsidRDefault="0003627B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0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33" w:rsidRDefault="00935033" w:rsidP="00254330">
      <w:pPr>
        <w:spacing w:after="0" w:line="240" w:lineRule="auto"/>
      </w:pPr>
      <w:r>
        <w:separator/>
      </w:r>
    </w:p>
  </w:footnote>
  <w:footnote w:type="continuationSeparator" w:id="0">
    <w:p w:rsidR="00935033" w:rsidRDefault="00935033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3627B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3503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097C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DB15-ECF2-41B8-9FC1-1F55CF9E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40</Pages>
  <Words>11351</Words>
  <Characters>68110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Grzegorz Pajka</cp:lastModifiedBy>
  <cp:revision>386</cp:revision>
  <dcterms:created xsi:type="dcterms:W3CDTF">2020-04-13T13:27:00Z</dcterms:created>
  <dcterms:modified xsi:type="dcterms:W3CDTF">2023-09-12T17:33:00Z</dcterms:modified>
</cp:coreProperties>
</file>