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BA98" w14:textId="64B9AB88" w:rsidR="004836E5" w:rsidRPr="006F5EB8" w:rsidRDefault="004836E5" w:rsidP="00BC365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6F5EB8">
        <w:rPr>
          <w:rFonts w:cstheme="minorHAnsi"/>
          <w:b/>
          <w:bCs/>
          <w:sz w:val="28"/>
          <w:szCs w:val="28"/>
          <w:u w:val="single"/>
        </w:rPr>
        <w:t>Usmernenie Mesta Senec k obedom zadarmo pre zákonných zástupcov žiakov základných škôl v zriaďovateľskej pôsobnosti Mesta Senec</w:t>
      </w:r>
    </w:p>
    <w:p w14:paraId="53BB7B18" w14:textId="77777777" w:rsidR="004836E5" w:rsidRPr="006F5EB8" w:rsidRDefault="004836E5">
      <w:pPr>
        <w:rPr>
          <w:rFonts w:cstheme="minorHAnsi"/>
        </w:rPr>
      </w:pPr>
    </w:p>
    <w:p w14:paraId="2C9DA9C4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Dňa 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zákony. Predmetná novela zákona o pomoci v hmotnej núdzi s účinnosťou od 01.05.2023 mení a dopĺňa zákon č. 544/2010 Z. z. o dotáciách v pôsobnosti Ministerstva práce, sociálnych vecí a rodiny SR v znení neskorších predpisov (ďalej len „zákon o dotáciách“), čím dochádza k zmenám v poskytovaní dotácie na stravu.</w:t>
      </w:r>
    </w:p>
    <w:p w14:paraId="378684CB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Konsolidované znenie zákona o dotáciách je zverejnené tu: </w:t>
      </w:r>
      <w:hyperlink r:id="rId5" w:tgtFrame="_blank" w:tooltip="Externý odkaz na https://www.slov-lex.sk/pravne-predpisy/SK/ZZ/2010/544/20230501.html" w:history="1">
        <w:r w:rsidRPr="004836E5">
          <w:rPr>
            <w:rFonts w:eastAsia="Times New Roman" w:cstheme="minorHAnsi"/>
            <w:color w:val="275C82"/>
            <w:kern w:val="0"/>
            <w:u w:val="single"/>
            <w:bdr w:val="none" w:sz="0" w:space="0" w:color="auto" w:frame="1"/>
            <w:lang w:eastAsia="sk-SK"/>
            <w14:ligatures w14:val="none"/>
          </w:rPr>
          <w:t>https://www.slov-lex.sk/pravne-predpisy/SK/ZZ/2010/544/20230501.html</w:t>
        </w:r>
      </w:hyperlink>
    </w:p>
    <w:p w14:paraId="47B85D5B" w14:textId="77777777" w:rsidR="004836E5" w:rsidRPr="004836E5" w:rsidRDefault="004836E5" w:rsidP="004836E5">
      <w:pPr>
        <w:spacing w:before="100" w:beforeAutospacing="1" w:after="30" w:line="240" w:lineRule="auto"/>
        <w:jc w:val="both"/>
        <w:outlineLvl w:val="2"/>
        <w:rPr>
          <w:rFonts w:eastAsia="Times New Roman" w:cstheme="minorHAnsi"/>
          <w:b/>
          <w:bCs/>
          <w:color w:val="275C82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275C82"/>
          <w:kern w:val="0"/>
          <w:u w:val="single"/>
          <w:lang w:eastAsia="sk-SK"/>
          <w14:ligatures w14:val="none"/>
        </w:rPr>
        <w:t>Výška dotácie na stravu</w:t>
      </w:r>
      <w:r w:rsidRPr="004836E5">
        <w:rPr>
          <w:rFonts w:eastAsia="Times New Roman" w:cstheme="minorHAnsi"/>
          <w:b/>
          <w:bCs/>
          <w:color w:val="275C82"/>
          <w:kern w:val="0"/>
          <w:lang w:eastAsia="sk-SK"/>
          <w14:ligatures w14:val="none"/>
        </w:rPr>
        <w:t>:</w:t>
      </w:r>
    </w:p>
    <w:p w14:paraId="06E2557D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Dotácia na stravu sa bude v zmysle § 4 ods. 6 zákona o dotáciách poskytovať v sume:</w:t>
      </w:r>
    </w:p>
    <w:p w14:paraId="33F63F54" w14:textId="77777777" w:rsidR="004836E5" w:rsidRPr="004836E5" w:rsidRDefault="004836E5" w:rsidP="00483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1,40 eur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za každý deň, v ktorom sa dieťa zúčastnilo výchovno-vzdelávacej činnosti v materskej škole (ďalej len „MŠ“) a odobralo stravu,</w:t>
      </w:r>
    </w:p>
    <w:p w14:paraId="08E845B9" w14:textId="77777777" w:rsidR="004836E5" w:rsidRPr="004836E5" w:rsidRDefault="004836E5" w:rsidP="00483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2,10 eur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za každý deň, v ktorom sa dieťa zúčastnilo vyučovania v základnej škole (ďalej len „ZŠ“) na prvom stupni a odobralo stravu,</w:t>
      </w:r>
    </w:p>
    <w:p w14:paraId="51C77344" w14:textId="77777777" w:rsidR="004836E5" w:rsidRPr="004836E5" w:rsidRDefault="004836E5" w:rsidP="00483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2,30 eur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za každý deň, v ktorom sa dieťa zúčastnilo vyučovania v ZŠ na druhom stupni a odobralo stravu.</w:t>
      </w:r>
    </w:p>
    <w:p w14:paraId="6B9DE638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Sumy poskytovanej dotácie na stravu boli stanové tak, aby pokryli náklady na nákup potravín na obed v 5. (najvyššom) finančnom pásme v zariadeniach školského stravovania, platné od 01.01.2023.</w:t>
      </w:r>
    </w:p>
    <w:p w14:paraId="2395EF7A" w14:textId="77777777" w:rsidR="004836E5" w:rsidRPr="004836E5" w:rsidRDefault="004836E5" w:rsidP="004836E5">
      <w:pPr>
        <w:spacing w:before="100" w:beforeAutospacing="1" w:after="30" w:line="240" w:lineRule="auto"/>
        <w:jc w:val="both"/>
        <w:outlineLvl w:val="2"/>
        <w:rPr>
          <w:rFonts w:eastAsia="Times New Roman" w:cstheme="minorHAnsi"/>
          <w:b/>
          <w:bCs/>
          <w:color w:val="275C82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275C82"/>
          <w:kern w:val="0"/>
          <w:u w:val="single"/>
          <w:lang w:eastAsia="sk-SK"/>
          <w14:ligatures w14:val="none"/>
        </w:rPr>
        <w:t>Oprávnené deti na poskytnutie dotácie na stravu:</w:t>
      </w:r>
    </w:p>
    <w:p w14:paraId="4A10DBFC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V zmysle § 4 ods. 3 zákona o dotáciách, dotáciu na stravu možno poskytnúť na zabezpečenie obeda a iného jedla v MŠ a v ZŠ </w:t>
      </w:r>
      <w:r w:rsidRPr="004836E5">
        <w:rPr>
          <w:rFonts w:eastAsia="Times New Roman" w:cstheme="minorHAnsi"/>
          <w:color w:val="000000"/>
          <w:kern w:val="0"/>
          <w:u w:val="single"/>
          <w:lang w:eastAsia="sk-SK"/>
          <w14:ligatures w14:val="none"/>
        </w:rPr>
        <w:t>na dieťa, ktoré navštevuje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:</w:t>
      </w:r>
    </w:p>
    <w:p w14:paraId="03D42306" w14:textId="77777777" w:rsidR="004836E5" w:rsidRPr="004836E5" w:rsidRDefault="004836E5" w:rsidP="00483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posledný ročník MŠ alebo základnú školu, ak rodič dieťaťa alebo fyzická osoba, ktorej je dieťa zverené do starostlivosti rozhodnutím súdu, písomne požiada žiadateľa o dotáciu (ďalej len „zriaďovateľ školy“) prostredníctvom zariadenia školského stravovania, aby podal žiadosť o poskytnutie dotácie na stravu na toto dieťa,</w:t>
      </w:r>
    </w:p>
    <w:p w14:paraId="7C5053CD" w14:textId="77777777" w:rsidR="004836E5" w:rsidRPr="004836E5" w:rsidRDefault="004836E5" w:rsidP="00483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MŠ, okrem dieťaťa navštevujúceho posledný ročník MŠ, a žije v domácnosti, ktorej sa poskytuje pomoc v hmotnej núdzi alebo ktorej príjem je najviac vo výške životného minima (ďalej len „deti v HN/ŽM“),</w:t>
      </w:r>
    </w:p>
    <w:p w14:paraId="30ABC946" w14:textId="77777777" w:rsidR="004836E5" w:rsidRPr="004836E5" w:rsidRDefault="004836E5" w:rsidP="00483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MŠ, ak v MŠ, okrem dieťaťa navštevujúceho posledný ročník MŠ, je najmenej 50 % detí z domácností, ktorým sa poskytuje pomoc v hmotnej núdzi.</w:t>
      </w:r>
    </w:p>
    <w:p w14:paraId="49554830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Vzhľadom na zmenu kategórií oprávnených detí sa od 01.05.2023 už nebude prihliadať na to, či je rodič poberateľom daňového bonusu na dieťa, </w:t>
      </w:r>
      <w:proofErr w:type="spellStart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t.j</w:t>
      </w:r>
      <w:proofErr w:type="spellEnd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. dieťaťu od 01.05.2023 môže byť poskytnutá dotácia na stravu aj v prípade, ak naň rodič poberá daňový bonus.</w:t>
      </w:r>
    </w:p>
    <w:p w14:paraId="67BF3765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Od 01.05.2023 </w:t>
      </w:r>
      <w:r w:rsidRPr="004836E5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dotáciu na stravu v MŠ, okrem dieťaťa navštevujúceho posledný ročník MŠ</w:t>
      </w:r>
      <w:r w:rsidRPr="004836E5">
        <w:rPr>
          <w:rFonts w:eastAsia="Times New Roman" w:cstheme="minorHAnsi"/>
          <w:color w:val="000000"/>
          <w:kern w:val="0"/>
          <w:u w:val="single"/>
          <w:lang w:eastAsia="sk-SK"/>
          <w14:ligatures w14:val="none"/>
        </w:rPr>
        <w:t>, </w:t>
      </w:r>
      <w:proofErr w:type="spellStart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t.j</w:t>
      </w:r>
      <w:proofErr w:type="spellEnd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. deťom vo veku od 2. do 5. rokov (ďalej len „mladšie deti v MŠ“), bude možné poskytnúť:</w:t>
      </w:r>
    </w:p>
    <w:p w14:paraId="2DBD155A" w14:textId="77777777" w:rsidR="004836E5" w:rsidRPr="004836E5" w:rsidRDefault="004836E5" w:rsidP="004836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lastRenderedPageBreak/>
        <w:t>na dieťa v HN alebo ŽM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a v tomto prípade, rovnako, ako v zmysle zákona o dotáciách účinného do 30.04.2023, bude musieť mať zriaďovateľ MŠ preukázané, že ide o dieťa v HN alebo ŽM</w:t>
      </w:r>
      <w:bookmarkStart w:id="0" w:name="_ftnref1"/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begin"/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instrText xml:space="preserve"> HYPERLINK "https://www.upsvr.gov.sk/socialne-veci-a-rodina/socialne-veci/pomoc-v-hmotnej-nudzi-a-statne-socialne-davky/dotacie-pre-deti-na-stravu-a-skolske-potreby/poskytovanie-dotacie-na-stravu-od-01.05.2023.html?page_id=1255775" \l "_ftn1" </w:instrTex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separate"/>
      </w:r>
      <w:r w:rsidRPr="004836E5">
        <w:rPr>
          <w:rFonts w:eastAsia="Times New Roman" w:cstheme="minorHAnsi"/>
          <w:color w:val="275C82"/>
          <w:kern w:val="0"/>
          <w:u w:val="single"/>
          <w:bdr w:val="none" w:sz="0" w:space="0" w:color="auto" w:frame="1"/>
          <w:vertAlign w:val="superscript"/>
          <w:lang w:eastAsia="sk-SK"/>
          <w14:ligatures w14:val="none"/>
        </w:rPr>
        <w:t>[1]</w: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end"/>
      </w:r>
      <w:bookmarkEnd w:id="0"/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t>,</w:t>
      </w:r>
    </w:p>
    <w:p w14:paraId="49E8FA9B" w14:textId="77777777" w:rsidR="004836E5" w:rsidRPr="004836E5" w:rsidRDefault="004836E5" w:rsidP="004836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na každé dieťa v MŠ 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(okrem posledného ročníka MŠ),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 ak je v MŠ 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(okrem posledného ročníka MŠ)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najmenej 50% detí v HN. 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V tomto prípade bude musieť mať zriaďovateľ MŠ preukázané, že aspoň 50% detí (okrem posledného ročníka MŠ) spĺňa podmienku dieťaťa v HN.</w:t>
      </w:r>
    </w:p>
    <w:p w14:paraId="4240F197" w14:textId="77777777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V prípade </w:t>
      </w:r>
      <w:r w:rsidRPr="004836E5">
        <w:rPr>
          <w:rFonts w:eastAsia="Times New Roman" w:cstheme="minorHAnsi"/>
          <w:b/>
          <w:bCs/>
          <w:color w:val="000000"/>
          <w:kern w:val="0"/>
          <w:u w:val="single"/>
          <w:lang w:eastAsia="sk-SK"/>
          <w14:ligatures w14:val="none"/>
        </w:rPr>
        <w:t>detí navštevujúcich ZŠ alebo posledný ročník MŠ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, bude možné dotáciu na stravu od 01.05.2023 poskytnúť len za podmienky, ak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rodič dieťaťa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alebo fyzická osoba, ktorej je dieťa zverené do starostlivosti rozhodnutím súdu (ďalej spolu len „rodič“)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písomne požiada</w:t>
      </w:r>
      <w:bookmarkStart w:id="1" w:name="_ftnref2"/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begin"/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instrText xml:space="preserve"> HYPERLINK "https://www.upsvr.gov.sk/socialne-veci-a-rodina/socialne-veci/pomoc-v-hmotnej-nudzi-a-statne-socialne-davky/dotacie-pre-deti-na-stravu-a-skolske-potreby/poskytovanie-dotacie-na-stravu-od-01.05.2023.html?page_id=1255775" \l "_ftn2" </w:instrTex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separate"/>
      </w:r>
      <w:r w:rsidRPr="004836E5">
        <w:rPr>
          <w:rFonts w:eastAsia="Times New Roman" w:cstheme="minorHAnsi"/>
          <w:color w:val="275C82"/>
          <w:kern w:val="0"/>
          <w:u w:val="single"/>
          <w:bdr w:val="none" w:sz="0" w:space="0" w:color="auto" w:frame="1"/>
          <w:vertAlign w:val="superscript"/>
          <w:lang w:eastAsia="sk-SK"/>
          <w14:ligatures w14:val="none"/>
        </w:rPr>
        <w:t>[2]</w: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end"/>
      </w:r>
      <w:bookmarkEnd w:id="1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 zriaďovateľa školy prostredníctvom zariadenia školského stravovania, aby podal žiadosť o poskytnutie dotácie na stravu na toto dieťa. O podanie žiadosti o poskytnutie dotácie na stravu môže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písomne požiadať aj zariadenie sociálnoprávnej ochrany detí a sociálnej kurately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, v ktorom je dieťaťu poskytovaná starostlivosť pobytovou formou na základe rozhodnutia súdu o nariadení ústavnej starostlivosti, o nariadení neodkladného opatrenia a o uložení výchovného opatrenia (ďalej len „zariadenie SPOD a SK“)</w:t>
      </w:r>
      <w:bookmarkStart w:id="2" w:name="_ftnref3"/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begin"/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instrText xml:space="preserve"> HYPERLINK "https://www.upsvr.gov.sk/socialne-veci-a-rodina/socialne-veci/pomoc-v-hmotnej-nudzi-a-statne-socialne-davky/dotacie-pre-deti-na-stravu-a-skolske-potreby/poskytovanie-dotacie-na-stravu-od-01.05.2023.html?page_id=1255775" \l "_ftn3" </w:instrTex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separate"/>
      </w:r>
      <w:r w:rsidRPr="004836E5">
        <w:rPr>
          <w:rFonts w:eastAsia="Times New Roman" w:cstheme="minorHAnsi"/>
          <w:color w:val="275C82"/>
          <w:kern w:val="0"/>
          <w:u w:val="single"/>
          <w:bdr w:val="none" w:sz="0" w:space="0" w:color="auto" w:frame="1"/>
          <w:vertAlign w:val="superscript"/>
          <w:lang w:eastAsia="sk-SK"/>
          <w14:ligatures w14:val="none"/>
        </w:rPr>
        <w:t>[3]</w:t>
      </w:r>
      <w:r w:rsidRPr="004836E5">
        <w:rPr>
          <w:rFonts w:eastAsia="Times New Roman" w:cstheme="minorHAnsi"/>
          <w:color w:val="000000"/>
          <w:kern w:val="0"/>
          <w:vertAlign w:val="superscript"/>
          <w:lang w:eastAsia="sk-SK"/>
          <w14:ligatures w14:val="none"/>
        </w:rPr>
        <w:fldChar w:fldCharType="end"/>
      </w:r>
      <w:bookmarkEnd w:id="2"/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. Dotáciu na stravu je možné na deti zo zariadenia SPOD a SK poskytnúť len v prípade, ak odoberajú obed v škole v rámci vyučovania alebo výchovno-vzdelávacieho procesu.     </w:t>
      </w:r>
    </w:p>
    <w:p w14:paraId="001B32BC" w14:textId="77777777" w:rsidR="004836E5" w:rsidRPr="004836E5" w:rsidRDefault="004836E5" w:rsidP="004836E5">
      <w:pPr>
        <w:spacing w:before="100" w:beforeAutospacing="1" w:after="30" w:line="240" w:lineRule="auto"/>
        <w:outlineLvl w:val="2"/>
        <w:rPr>
          <w:rFonts w:eastAsia="Times New Roman" w:cstheme="minorHAnsi"/>
          <w:b/>
          <w:bCs/>
          <w:color w:val="275C82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b/>
          <w:bCs/>
          <w:color w:val="275C82"/>
          <w:kern w:val="0"/>
          <w:u w:val="single"/>
          <w:lang w:eastAsia="sk-SK"/>
          <w14:ligatures w14:val="none"/>
        </w:rPr>
        <w:t>Poskytovanie dotácií na stravu:</w:t>
      </w:r>
    </w:p>
    <w:p w14:paraId="2E75F6BE" w14:textId="06E85744" w:rsidR="004836E5" w:rsidRPr="004836E5" w:rsidRDefault="004836E5" w:rsidP="004836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lang w:eastAsia="sk-SK"/>
          <w14:ligatures w14:val="none"/>
        </w:rPr>
      </w:pP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V zmysle § 4 ods. 6 zákona o dotáciách, sa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dotácia na stravu poskytuje paušálne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 vo vyššie uvedených sumách </w:t>
      </w:r>
      <w:r w:rsidRPr="004836E5">
        <w:rPr>
          <w:rFonts w:eastAsia="Times New Roman" w:cstheme="minorHAnsi"/>
          <w:b/>
          <w:bCs/>
          <w:color w:val="00B050"/>
          <w:kern w:val="0"/>
          <w:u w:val="single"/>
          <w:lang w:eastAsia="sk-SK"/>
          <w14:ligatures w14:val="none"/>
        </w:rPr>
        <w:t>za každý deň, v ktorom sa dieťa zúčastnilo výchovno-vzdelávacej činnosti v MŠ alebo vyučovania v ZŠ a odobralo stravu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, </w:t>
      </w:r>
      <w:r w:rsidRPr="004836E5">
        <w:rPr>
          <w:rFonts w:eastAsia="Times New Roman" w:cstheme="minorHAnsi"/>
          <w:b/>
          <w:bCs/>
          <w:color w:val="000000"/>
          <w:kern w:val="0"/>
          <w:lang w:eastAsia="sk-SK"/>
          <w14:ligatures w14:val="none"/>
        </w:rPr>
        <w:t>a to aj v prípade ak zariadenie školského stravovania pripraví stravu v nižšej sume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. Dotácia na stravu je určená na zabezpečenie obeda alebo iného jedla pre dieťa v MŠ/ZŠ a ak zariadenie školského stravovania pripraví stravu v nižšej sume ako je výška dotácie, uvedený rozdiel </w:t>
      </w:r>
      <w:r w:rsidRPr="00A60BEB">
        <w:rPr>
          <w:rFonts w:eastAsia="Times New Roman" w:cstheme="minorHAnsi"/>
          <w:color w:val="000000"/>
          <w:kern w:val="0"/>
          <w:lang w:eastAsia="sk-SK"/>
          <w14:ligatures w14:val="none"/>
        </w:rPr>
        <w:t>by mal byť</w:t>
      </w:r>
      <w:r w:rsidR="00A60BEB">
        <w:rPr>
          <w:rFonts w:eastAsia="Times New Roman" w:cstheme="minorHAnsi"/>
          <w:color w:val="000000"/>
          <w:kern w:val="0"/>
          <w:lang w:eastAsia="sk-SK"/>
          <w14:ligatures w14:val="none"/>
        </w:rPr>
        <w:t xml:space="preserve"> </w:t>
      </w:r>
      <w:r w:rsidRPr="004836E5">
        <w:rPr>
          <w:rFonts w:eastAsia="Times New Roman" w:cstheme="minorHAnsi"/>
          <w:color w:val="000000"/>
          <w:kern w:val="0"/>
          <w:lang w:eastAsia="sk-SK"/>
          <w14:ligatures w14:val="none"/>
        </w:rPr>
        <w:t>prioritne použitý na skvalitnenie jedla, rozšírenie jedla o doplnkové jedlo (napr. ovocie k obedu v ZŠ, v MŠ desiata alebo olovrant), následne môže byť tento rozdiel použitý aj na úhradu skvalitnenia kultúry stravovania v zariadení školského stravovania. </w:t>
      </w:r>
    </w:p>
    <w:p w14:paraId="79E35BD8" w14:textId="3C3CB5BC" w:rsidR="004836E5" w:rsidRPr="006F5EB8" w:rsidRDefault="004836E5" w:rsidP="004B24BA">
      <w:pPr>
        <w:jc w:val="both"/>
        <w:rPr>
          <w:rFonts w:cstheme="minorHAnsi"/>
        </w:rPr>
      </w:pPr>
      <w:r w:rsidRPr="006F5EB8">
        <w:rPr>
          <w:rFonts w:cstheme="minorHAnsi"/>
        </w:rPr>
        <w:t xml:space="preserve"> </w:t>
      </w:r>
      <w:r w:rsidR="006F5EB8" w:rsidRPr="006F5EB8">
        <w:rPr>
          <w:rFonts w:cstheme="minorHAnsi"/>
        </w:rPr>
        <w:tab/>
      </w:r>
      <w:r w:rsidR="00BC365F" w:rsidRPr="006F5EB8">
        <w:rPr>
          <w:rFonts w:cstheme="minorHAnsi"/>
        </w:rPr>
        <w:t>V prípade, ak rodič zabudne odhlásiť dieťa/žiaka zo stravy, rodič uhrádza celú sumu obeda za deň/dni, počas ktorých dieťa/žiak nebol odhlásený zo stravy.</w:t>
      </w:r>
    </w:p>
    <w:p w14:paraId="34C0964F" w14:textId="7F95CEEB" w:rsidR="00BC365F" w:rsidRPr="006F5EB8" w:rsidRDefault="00BC365F" w:rsidP="00BC365F">
      <w:pPr>
        <w:jc w:val="both"/>
        <w:rPr>
          <w:rFonts w:cstheme="minorHAnsi"/>
          <w:b/>
          <w:bCs/>
          <w:u w:val="single"/>
        </w:rPr>
      </w:pPr>
      <w:r w:rsidRPr="006F5EB8">
        <w:rPr>
          <w:rFonts w:cstheme="minorHAnsi"/>
        </w:rPr>
        <w:t xml:space="preserve">Na to, aby </w:t>
      </w:r>
      <w:r w:rsidRPr="006F5EB8">
        <w:rPr>
          <w:rFonts w:cstheme="minorHAnsi"/>
          <w:b/>
          <w:bCs/>
          <w:u w:val="single"/>
        </w:rPr>
        <w:t xml:space="preserve">školským jedálňam nevznikali nedoplatky zo strany rodičov, Mesto Senec ako zriaďovateľ škôl vo svojej pôsobnosti žiada zákonných zástupcov  žiaka, aby uhradili na účet školskej jedálne, v ktorej sa ich </w:t>
      </w:r>
      <w:r w:rsidR="006F5EB8">
        <w:rPr>
          <w:rFonts w:cstheme="minorHAnsi"/>
          <w:b/>
          <w:bCs/>
          <w:u w:val="single"/>
        </w:rPr>
        <w:t>dieťa</w:t>
      </w:r>
      <w:r w:rsidRPr="006F5EB8">
        <w:rPr>
          <w:rFonts w:cstheme="minorHAnsi"/>
          <w:b/>
          <w:bCs/>
          <w:u w:val="single"/>
        </w:rPr>
        <w:t xml:space="preserve"> stravuje </w:t>
      </w:r>
      <w:r w:rsidRPr="006F5EB8">
        <w:rPr>
          <w:rFonts w:cstheme="minorHAnsi"/>
          <w:b/>
          <w:bCs/>
          <w:color w:val="00B050"/>
          <w:u w:val="single"/>
        </w:rPr>
        <w:t>zábezpeku vo výške 20 euro.</w:t>
      </w:r>
    </w:p>
    <w:p w14:paraId="139D4994" w14:textId="75472367" w:rsidR="006F5EB8" w:rsidRPr="006F5EB8" w:rsidRDefault="00BC365F" w:rsidP="00BC365F">
      <w:pPr>
        <w:jc w:val="both"/>
        <w:rPr>
          <w:rFonts w:cstheme="minorHAnsi"/>
        </w:rPr>
      </w:pPr>
      <w:r w:rsidRPr="006F5EB8">
        <w:rPr>
          <w:rFonts w:cstheme="minorHAnsi"/>
        </w:rPr>
        <w:t>Zábezpeka bude slúžiť v prípade situácie, ak rodič zabudne odhlásiť dieťa zo stravy (zábezpeka sa poníži o výšku dotácie na stravu</w:t>
      </w:r>
      <w:r w:rsidR="006F5EB8" w:rsidRPr="006F5EB8">
        <w:rPr>
          <w:rFonts w:cstheme="minorHAnsi"/>
        </w:rPr>
        <w:t>).</w:t>
      </w:r>
    </w:p>
    <w:p w14:paraId="03BFA10B" w14:textId="1A104B29" w:rsidR="00BC365F" w:rsidRDefault="006F5EB8" w:rsidP="00BC365F">
      <w:pPr>
        <w:jc w:val="both"/>
        <w:rPr>
          <w:rFonts w:cstheme="minorHAnsi"/>
        </w:rPr>
      </w:pPr>
      <w:r w:rsidRPr="006F5EB8">
        <w:rPr>
          <w:rFonts w:cstheme="minorHAnsi"/>
        </w:rPr>
        <w:t xml:space="preserve">Vyúčtovanie zábezpeky uvidí každý rodič žiaka v </w:t>
      </w:r>
      <w:proofErr w:type="spellStart"/>
      <w:r w:rsidRPr="006F5EB8">
        <w:rPr>
          <w:rFonts w:cstheme="minorHAnsi"/>
        </w:rPr>
        <w:t>edupage</w:t>
      </w:r>
      <w:proofErr w:type="spellEnd"/>
      <w:r w:rsidRPr="006F5EB8">
        <w:rPr>
          <w:rFonts w:cstheme="minorHAnsi"/>
        </w:rPr>
        <w:t xml:space="preserve"> (koľko kreditu má daný žiak), v prípade, ak sa rodič žiaka rozhodne, že si chce zostávajúcu výšku zábezpeky dať</w:t>
      </w:r>
      <w:bookmarkStart w:id="3" w:name="_GoBack"/>
      <w:bookmarkEnd w:id="3"/>
      <w:r w:rsidRPr="006F5EB8">
        <w:rPr>
          <w:rFonts w:cstheme="minorHAnsi"/>
        </w:rPr>
        <w:t xml:space="preserve"> </w:t>
      </w:r>
      <w:r w:rsidR="00BC365F" w:rsidRPr="006F5EB8">
        <w:rPr>
          <w:rFonts w:cstheme="minorHAnsi"/>
        </w:rPr>
        <w:t xml:space="preserve"> </w:t>
      </w:r>
      <w:r w:rsidRPr="006F5EB8">
        <w:rPr>
          <w:rFonts w:cstheme="minorHAnsi"/>
        </w:rPr>
        <w:t>preplatiť, požiada o to písomne vedúcu školskej jedálne, v ktorej sa žiak stravuje.</w:t>
      </w:r>
    </w:p>
    <w:p w14:paraId="64EE7AFB" w14:textId="77777777" w:rsidR="006F5EB8" w:rsidRDefault="006F5EB8" w:rsidP="00BC365F">
      <w:pPr>
        <w:jc w:val="both"/>
        <w:rPr>
          <w:rFonts w:cstheme="minorHAnsi"/>
        </w:rPr>
      </w:pPr>
    </w:p>
    <w:p w14:paraId="653C413D" w14:textId="77777777" w:rsidR="006F5EB8" w:rsidRDefault="006F5EB8" w:rsidP="00BC365F">
      <w:pPr>
        <w:jc w:val="both"/>
        <w:rPr>
          <w:rFonts w:cstheme="minorHAnsi"/>
        </w:rPr>
      </w:pPr>
    </w:p>
    <w:p w14:paraId="4FCFB7AE" w14:textId="4B610CFE" w:rsidR="006F5EB8" w:rsidRDefault="006F5EB8" w:rsidP="00BC365F">
      <w:pPr>
        <w:jc w:val="both"/>
        <w:rPr>
          <w:rFonts w:cstheme="minorHAnsi"/>
        </w:rPr>
      </w:pPr>
      <w:r>
        <w:rPr>
          <w:rFonts w:cstheme="minorHAnsi"/>
        </w:rPr>
        <w:t>V Senci dňa 21.04.2023</w:t>
      </w:r>
    </w:p>
    <w:p w14:paraId="32AD1FC0" w14:textId="77777777" w:rsidR="006F5EB8" w:rsidRDefault="006F5EB8" w:rsidP="00BC365F">
      <w:pPr>
        <w:jc w:val="both"/>
        <w:rPr>
          <w:rFonts w:cstheme="minorHAnsi"/>
        </w:rPr>
      </w:pPr>
    </w:p>
    <w:p w14:paraId="62088863" w14:textId="6B276363" w:rsidR="006F5EB8" w:rsidRPr="006F5EB8" w:rsidRDefault="006F5EB8" w:rsidP="00BC365F">
      <w:pPr>
        <w:jc w:val="both"/>
        <w:rPr>
          <w:rFonts w:cstheme="minorHAnsi"/>
        </w:rPr>
      </w:pPr>
      <w:r>
        <w:rPr>
          <w:rFonts w:cstheme="minorHAnsi"/>
        </w:rPr>
        <w:t>Zdroj: Úrad práce, sociálnych vecí a rodiny</w:t>
      </w:r>
    </w:p>
    <w:sectPr w:rsidR="006F5EB8" w:rsidRPr="006F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7FB"/>
    <w:multiLevelType w:val="multilevel"/>
    <w:tmpl w:val="3F68D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0876"/>
    <w:multiLevelType w:val="multilevel"/>
    <w:tmpl w:val="75861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340AE"/>
    <w:multiLevelType w:val="multilevel"/>
    <w:tmpl w:val="4A8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C5D38"/>
    <w:multiLevelType w:val="multilevel"/>
    <w:tmpl w:val="000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5"/>
    <w:rsid w:val="00286959"/>
    <w:rsid w:val="003336D9"/>
    <w:rsid w:val="004836E5"/>
    <w:rsid w:val="004B24BA"/>
    <w:rsid w:val="005647CE"/>
    <w:rsid w:val="006F5EB8"/>
    <w:rsid w:val="007F482E"/>
    <w:rsid w:val="00885779"/>
    <w:rsid w:val="00A60BEB"/>
    <w:rsid w:val="00B4734A"/>
    <w:rsid w:val="00BC365F"/>
    <w:rsid w:val="00D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9DB6"/>
  <w15:chartTrackingRefBased/>
  <w15:docId w15:val="{A9809A88-9282-48C9-B10B-2CBF7AD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83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836E5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48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4836E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836E5"/>
    <w:rPr>
      <w:b/>
      <w:bCs/>
    </w:rPr>
  </w:style>
  <w:style w:type="character" w:styleId="Zvraznenie">
    <w:name w:val="Emphasis"/>
    <w:basedOn w:val="Predvolenpsmoodseku"/>
    <w:uiPriority w:val="20"/>
    <w:qFormat/>
    <w:rsid w:val="004836E5"/>
    <w:rPr>
      <w:i/>
      <w:iCs/>
    </w:rPr>
  </w:style>
  <w:style w:type="character" w:customStyle="1" w:styleId="doc-info">
    <w:name w:val="doc-info"/>
    <w:basedOn w:val="Predvolenpsmoodseku"/>
    <w:rsid w:val="004836E5"/>
  </w:style>
  <w:style w:type="character" w:styleId="Odkaznakomentr">
    <w:name w:val="annotation reference"/>
    <w:basedOn w:val="Predvolenpsmoodseku"/>
    <w:uiPriority w:val="99"/>
    <w:semiHidden/>
    <w:unhideWhenUsed/>
    <w:rsid w:val="00A60B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0B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0B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B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BE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0/544/202305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Glodžáková</dc:creator>
  <cp:keywords/>
  <dc:description/>
  <cp:lastModifiedBy>ZSSVJM</cp:lastModifiedBy>
  <cp:revision>2</cp:revision>
  <dcterms:created xsi:type="dcterms:W3CDTF">2023-08-22T04:44:00Z</dcterms:created>
  <dcterms:modified xsi:type="dcterms:W3CDTF">2023-08-22T04:44:00Z</dcterms:modified>
</cp:coreProperties>
</file>