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615833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7528C0">
        <w:rPr>
          <w:rFonts w:ascii="Arial" w:hAnsi="Arial" w:cs="Arial"/>
          <w:b/>
          <w:sz w:val="22"/>
          <w:szCs w:val="22"/>
        </w:rPr>
        <w:t>Športová škola Galaktikos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528C0">
        <w:rPr>
          <w:rFonts w:ascii="Arial" w:hAnsi="Arial" w:cs="Arial"/>
          <w:sz w:val="22"/>
          <w:szCs w:val="22"/>
        </w:rPr>
        <w:t>Uhrová 16, 831 01 Bratislava</w:t>
      </w:r>
    </w:p>
    <w:p w:rsidR="00BD0327" w:rsidRPr="001B2AB8" w:rsidRDefault="00273EF6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zapísaná</w:t>
      </w:r>
      <w:r w:rsidR="00BD0327">
        <w:rPr>
          <w:rFonts w:ascii="Arial" w:hAnsi="Arial" w:cs="Arial"/>
          <w:sz w:val="22"/>
          <w:szCs w:val="22"/>
        </w:rPr>
        <w:t>:</w:t>
      </w:r>
      <w:r w:rsidR="00BD0327" w:rsidRPr="00F71867">
        <w:rPr>
          <w:rFonts w:ascii="Arial" w:hAnsi="Arial" w:cs="Arial"/>
          <w:sz w:val="22"/>
          <w:szCs w:val="22"/>
        </w:rPr>
        <w:tab/>
      </w:r>
      <w:r w:rsidR="00BD032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Evidencii občianskych združení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9D4DB2">
        <w:rPr>
          <w:rFonts w:ascii="Arial" w:hAnsi="Arial" w:cs="Arial"/>
          <w:sz w:val="22"/>
          <w:szCs w:val="22"/>
        </w:rPr>
        <w:t>48411493</w:t>
      </w:r>
    </w:p>
    <w:p w:rsidR="00273EF6" w:rsidRPr="00A87630" w:rsidRDefault="00273EF6" w:rsidP="00BD0327">
      <w:pPr>
        <w:tabs>
          <w:tab w:val="left" w:pos="340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Marián Polák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A2D84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>„ veľkej</w:t>
      </w:r>
      <w:r w:rsidR="00A0725B">
        <w:rPr>
          <w:rFonts w:ascii="Arial" w:hAnsi="Arial" w:cs="Arial"/>
          <w:sz w:val="22"/>
          <w:szCs w:val="22"/>
        </w:rPr>
        <w:t xml:space="preserve"> a 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9D4DB2">
        <w:rPr>
          <w:rFonts w:ascii="Arial" w:hAnsi="Arial" w:cs="Arial"/>
          <w:sz w:val="22"/>
          <w:szCs w:val="22"/>
        </w:rPr>
        <w:t>florbal detí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</w:t>
      </w:r>
      <w:r w:rsidR="00A0725B">
        <w:rPr>
          <w:rFonts w:ascii="Arial" w:hAnsi="Arial" w:cs="Arial"/>
          <w:sz w:val="22"/>
          <w:szCs w:val="22"/>
        </w:rPr>
        <w:t xml:space="preserve">veľkej telocvične </w:t>
      </w:r>
      <w:r w:rsidRPr="00347B26">
        <w:rPr>
          <w:rFonts w:ascii="Arial" w:hAnsi="Arial" w:cs="Arial"/>
          <w:sz w:val="22"/>
          <w:szCs w:val="22"/>
        </w:rPr>
        <w:t xml:space="preserve">sa uzatvára na dobu určitú od </w:t>
      </w:r>
      <w:r w:rsidR="00A0725B">
        <w:rPr>
          <w:rFonts w:ascii="Arial" w:hAnsi="Arial" w:cs="Arial"/>
          <w:sz w:val="22"/>
          <w:szCs w:val="22"/>
        </w:rPr>
        <w:t>15.8.2022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0725B">
        <w:rPr>
          <w:rFonts w:ascii="Arial" w:hAnsi="Arial" w:cs="Arial"/>
          <w:sz w:val="22"/>
          <w:szCs w:val="22"/>
        </w:rPr>
        <w:t>18.8.2022,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 xml:space="preserve"> celkovo </w:t>
      </w:r>
      <w:r w:rsidR="00A0725B">
        <w:rPr>
          <w:rFonts w:ascii="Arial" w:hAnsi="Arial" w:cs="Arial"/>
          <w:sz w:val="22"/>
          <w:szCs w:val="22"/>
        </w:rPr>
        <w:t>12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A0725B" w:rsidRDefault="00A0725B" w:rsidP="00A0725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Nájomný pomer malej telocvične sa uzatvára na dobu určitú od 15.8.2022 do 18.8.2022, celkovo 6 hodín.</w:t>
      </w:r>
    </w:p>
    <w:p w:rsidR="002774BB" w:rsidRDefault="002774BB" w:rsidP="002774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DD314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Default="00D26E4C" w:rsidP="00A0725B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11319E" w:rsidRPr="001F2435">
        <w:rPr>
          <w:rFonts w:ascii="Arial" w:hAnsi="Arial" w:cs="Arial"/>
          <w:b/>
          <w:color w:val="030303"/>
          <w:sz w:val="22"/>
          <w:szCs w:val="22"/>
        </w:rPr>
        <w:t>1</w:t>
      </w:r>
      <w:r w:rsidR="002774BB">
        <w:rPr>
          <w:rFonts w:ascii="Arial" w:hAnsi="Arial" w:cs="Arial"/>
          <w:b/>
          <w:color w:val="030303"/>
          <w:sz w:val="22"/>
          <w:szCs w:val="22"/>
        </w:rPr>
        <w:t>3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2774BB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spolu </w:t>
      </w:r>
      <w:r w:rsidR="00A0725B">
        <w:rPr>
          <w:rFonts w:ascii="Arial" w:hAnsi="Arial" w:cs="Arial"/>
          <w:color w:val="030303"/>
          <w:sz w:val="22"/>
          <w:szCs w:val="22"/>
        </w:rPr>
        <w:t>156,00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 € za celkovú dobu nájmu </w:t>
      </w:r>
      <w:r w:rsidR="00A0725B">
        <w:rPr>
          <w:rFonts w:ascii="Arial" w:hAnsi="Arial" w:cs="Arial"/>
          <w:color w:val="030303"/>
          <w:sz w:val="22"/>
          <w:szCs w:val="22"/>
        </w:rPr>
        <w:t>a </w:t>
      </w:r>
      <w:r w:rsidR="00A0725B" w:rsidRPr="00A0725B">
        <w:rPr>
          <w:rFonts w:ascii="Arial" w:hAnsi="Arial" w:cs="Arial"/>
          <w:b/>
          <w:color w:val="030303"/>
          <w:sz w:val="22"/>
          <w:szCs w:val="22"/>
        </w:rPr>
        <w:t>9,00 €/hod.</w:t>
      </w:r>
      <w:r w:rsidR="00A0725B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A0725B">
        <w:rPr>
          <w:rFonts w:ascii="Arial" w:hAnsi="Arial" w:cs="Arial"/>
          <w:color w:val="030303"/>
          <w:sz w:val="22"/>
          <w:szCs w:val="22"/>
        </w:rPr>
        <w:t xml:space="preserve">spolu </w:t>
      </w:r>
    </w:p>
    <w:p w:rsidR="00A0725B" w:rsidRPr="00A0725B" w:rsidRDefault="00A0725B" w:rsidP="00A0725B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54,00 € za celkovú dobu nájmu, celkovo 210,00 €.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A0725B">
        <w:rPr>
          <w:rFonts w:ascii="Arial" w:hAnsi="Arial" w:cs="Arial"/>
          <w:sz w:val="22"/>
          <w:szCs w:val="22"/>
        </w:rPr>
        <w:t>210,00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C3151" w:rsidRDefault="00BC3151" w:rsidP="001F2435">
      <w:pPr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725B" w:rsidRDefault="00A0725B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725B" w:rsidRDefault="00A0725B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725B" w:rsidRDefault="00A0725B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Pr="00BD0327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lastRenderedPageBreak/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BC3151" w:rsidRPr="00533873" w:rsidRDefault="00BC3151" w:rsidP="00533873">
      <w:pPr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A0725B">
        <w:rPr>
          <w:rFonts w:ascii="Arial" w:hAnsi="Arial" w:cs="Arial"/>
          <w:sz w:val="22"/>
        </w:rPr>
        <w:t>15.8.2002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A0725B">
        <w:rPr>
          <w:rFonts w:ascii="Arial" w:hAnsi="Arial" w:cs="Arial"/>
          <w:sz w:val="22"/>
        </w:rPr>
        <w:t>15.8.2022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</w:t>
      </w:r>
      <w:r w:rsidRPr="00C6658A">
        <w:rPr>
          <w:rFonts w:ascii="Arial" w:hAnsi="Arial" w:cs="Arial"/>
          <w:sz w:val="22"/>
          <w:szCs w:val="22"/>
        </w:rPr>
        <w:lastRenderedPageBreak/>
        <w:t>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A0725B">
        <w:rPr>
          <w:rFonts w:ascii="Arial" w:hAnsi="Arial" w:cs="Arial"/>
          <w:sz w:val="22"/>
          <w:szCs w:val="22"/>
        </w:rPr>
        <w:t>15.8.2022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A0725B">
        <w:rPr>
          <w:rFonts w:ascii="Arial" w:hAnsi="Arial" w:cs="Arial"/>
          <w:sz w:val="22"/>
          <w:szCs w:val="22"/>
        </w:rPr>
        <w:t>15.8.2022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</w:r>
      <w:r w:rsidR="00533873">
        <w:rPr>
          <w:rFonts w:ascii="Arial" w:hAnsi="Arial" w:cs="Arial"/>
          <w:b w:val="0"/>
          <w:sz w:val="22"/>
          <w:szCs w:val="22"/>
        </w:rPr>
        <w:t xml:space="preserve">          Mgr.</w:t>
      </w:r>
      <w:r w:rsidR="00273EF6">
        <w:rPr>
          <w:rFonts w:ascii="Arial" w:hAnsi="Arial" w:cs="Arial"/>
          <w:b w:val="0"/>
          <w:sz w:val="22"/>
          <w:szCs w:val="22"/>
        </w:rPr>
        <w:t xml:space="preserve"> Marián Polák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52" w:rsidRDefault="003A3B52">
      <w:r>
        <w:separator/>
      </w:r>
    </w:p>
  </w:endnote>
  <w:endnote w:type="continuationSeparator" w:id="0">
    <w:p w:rsidR="003A3B52" w:rsidRDefault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633418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393A3C">
      <w:rPr>
        <w:noProof/>
      </w:rPr>
      <w:t>7</w:t>
    </w:r>
    <w:r>
      <w:rPr>
        <w:noProof/>
      </w:rPr>
      <w:fldChar w:fldCharType="end"/>
    </w:r>
  </w:p>
  <w:p w:rsidR="00B025D1" w:rsidRDefault="003A3B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52" w:rsidRDefault="003A3B52">
      <w:r>
        <w:separator/>
      </w:r>
    </w:p>
  </w:footnote>
  <w:footnote w:type="continuationSeparator" w:id="0">
    <w:p w:rsidR="003A3B52" w:rsidRDefault="003A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A2D84"/>
    <w:rsid w:val="000C356B"/>
    <w:rsid w:val="000F31F6"/>
    <w:rsid w:val="0011319E"/>
    <w:rsid w:val="001325AB"/>
    <w:rsid w:val="00135090"/>
    <w:rsid w:val="00167697"/>
    <w:rsid w:val="001E09A5"/>
    <w:rsid w:val="001F2435"/>
    <w:rsid w:val="00273EF6"/>
    <w:rsid w:val="002774BB"/>
    <w:rsid w:val="00287CE4"/>
    <w:rsid w:val="00291400"/>
    <w:rsid w:val="002D036D"/>
    <w:rsid w:val="00302AF6"/>
    <w:rsid w:val="00306EA1"/>
    <w:rsid w:val="00316075"/>
    <w:rsid w:val="00347B26"/>
    <w:rsid w:val="00362A5E"/>
    <w:rsid w:val="003631E5"/>
    <w:rsid w:val="00393A3C"/>
    <w:rsid w:val="00396617"/>
    <w:rsid w:val="003A3B52"/>
    <w:rsid w:val="003B367E"/>
    <w:rsid w:val="00424523"/>
    <w:rsid w:val="00496C41"/>
    <w:rsid w:val="004B1745"/>
    <w:rsid w:val="00533873"/>
    <w:rsid w:val="00543743"/>
    <w:rsid w:val="00547B79"/>
    <w:rsid w:val="005864CB"/>
    <w:rsid w:val="005A57A7"/>
    <w:rsid w:val="005D08BB"/>
    <w:rsid w:val="005D19A5"/>
    <w:rsid w:val="00615833"/>
    <w:rsid w:val="00633418"/>
    <w:rsid w:val="00643A42"/>
    <w:rsid w:val="006826EB"/>
    <w:rsid w:val="006851BF"/>
    <w:rsid w:val="006C631C"/>
    <w:rsid w:val="006E6C08"/>
    <w:rsid w:val="00745504"/>
    <w:rsid w:val="007528C0"/>
    <w:rsid w:val="00766F2C"/>
    <w:rsid w:val="00785D15"/>
    <w:rsid w:val="007D5762"/>
    <w:rsid w:val="00812310"/>
    <w:rsid w:val="00882662"/>
    <w:rsid w:val="008B5CA9"/>
    <w:rsid w:val="008E38F9"/>
    <w:rsid w:val="008F0025"/>
    <w:rsid w:val="00910FEC"/>
    <w:rsid w:val="00917DD8"/>
    <w:rsid w:val="00935971"/>
    <w:rsid w:val="00953406"/>
    <w:rsid w:val="00964804"/>
    <w:rsid w:val="009D4DB2"/>
    <w:rsid w:val="00A02DD6"/>
    <w:rsid w:val="00A0725B"/>
    <w:rsid w:val="00A35039"/>
    <w:rsid w:val="00A84372"/>
    <w:rsid w:val="00B227FD"/>
    <w:rsid w:val="00BC3151"/>
    <w:rsid w:val="00BD0327"/>
    <w:rsid w:val="00C6658A"/>
    <w:rsid w:val="00D13960"/>
    <w:rsid w:val="00D150A0"/>
    <w:rsid w:val="00D26E4C"/>
    <w:rsid w:val="00D30F02"/>
    <w:rsid w:val="00DD3145"/>
    <w:rsid w:val="00DD5EB5"/>
    <w:rsid w:val="00E22DB6"/>
    <w:rsid w:val="00E30648"/>
    <w:rsid w:val="00E476E5"/>
    <w:rsid w:val="00E83E74"/>
    <w:rsid w:val="00E90886"/>
    <w:rsid w:val="00EA4486"/>
    <w:rsid w:val="00ED472B"/>
    <w:rsid w:val="00EF5E26"/>
    <w:rsid w:val="00F10CD1"/>
    <w:rsid w:val="00F23878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F71"/>
  <w15:docId w15:val="{6AE67C7B-A287-41FE-A00C-55A51A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2022-08-03T07:02:00Z</cp:lastPrinted>
  <dcterms:created xsi:type="dcterms:W3CDTF">2022-08-03T10:34:00Z</dcterms:created>
  <dcterms:modified xsi:type="dcterms:W3CDTF">2022-08-03T10:34:00Z</dcterms:modified>
</cp:coreProperties>
</file>